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 xml:space="preserve">1. Laparoscopic excision of posterior vaginal fornix in the treatment of </w:t>
      </w:r>
      <w:bookmarkStart w:id="0" w:name="_GoBack"/>
      <w:r>
        <w:rPr>
          <w:rFonts w:ascii="Arial" w:hAnsi="Arial" w:cs="Arial"/>
          <w:color w:val="313132"/>
          <w:sz w:val="28"/>
          <w:szCs w:val="28"/>
        </w:rPr>
        <w:t xml:space="preserve">patients with deep  endometriosis without bowel involvement: surgical </w:t>
      </w:r>
      <w:bookmarkEnd w:id="0"/>
      <w:r>
        <w:rPr>
          <w:rFonts w:ascii="Arial" w:hAnsi="Arial" w:cs="Arial"/>
          <w:color w:val="313132"/>
          <w:sz w:val="28"/>
          <w:szCs w:val="28"/>
        </w:rPr>
        <w:t>treatment and long term follow-up. Angioni S, Peiretti M, Zirone M, Palomba M, Mais V, Gomel V, Melis GB.   Human Reproduction 21: 1629-1634, 2006.</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2. Postoperative abdominal adhesions and their prevention in gynaecological surgery. Expert consensus position. Expert adhesions working party of the ESGE. DeWilde R, Trew G, Angioni S, et al. Gynecological surgery 4(3): 155-60, 2007.</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3. Guerriero S, Ajossa S, Gerada M, D'Aquila M, Piras B, Melis GB."Tenderness-guided" transvaginal ultrasonography: a new method for the detection of deep endometriosis in patients with chronic pelvic pain. Fertil Steril. 2007 Nov;88(5):1293-7.</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4. Expert consensus opinion: postoperative adhesions in gynaecological surgery.</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            DeWilde R, Trew G, Angioni S, et al. Adhesions News Views 11: 9-13, 2007</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5. Diagnostic value of transvaginal “tenderness-guided” ultrasonography for the prediction of location of deep endometriosis. Guerriero S, Ajossa S, Gerada M, Virgilio B, Angioni S, Melis GB. Human Reproduction 23(11):2452-7, 2008.</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6. Deep endometriosis management. Angioni S, Arena I, Melis I, Melis GB Revista Medico-Chirurgicala. Soc. Med. Iasi Apr-Jun; 113 (2, Suppl. 1): 21-26, 2009.</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7. Guerriero S, Alcázar JL, Ajossa S, Pilloni M, Melis GB. Three-dimensional sonographic characteristics of deep endometriosis. J Ultrasound Med. 2009 Aug;28(8):1061-6.</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8. Single access laparoscopy for adnexal pathologies using a novel reusable port and curved instruments. Mereu L, Angioni S, Melis GB, Mencaglia L.  International Journal of Gynaecology and Obstetrics. 109(1):78-80, 2010.</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9. Rectal perforation from endometriosis in pregnancy: Case report and literature review. Pisanu A, Deplano D, Angioni S, Ambu R, Uccheddu A. World Journal of Gastroenterology 7;16(5):648-51, 2010.</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10. Peritoneal adhesions in human and veterinary medicine: from pathogenesis to therapy. A review. Rizzo A, Spedicato M, Mutinati M, Minoia G, Angioni S, Jirillo F, Pantaleo M,       Sciorsci RL. Immunopharmacology and Immunotoxicology 32(3):481-94, 2010.</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11. Single Port Access Laparoscopy (SPAL) for endometrioma excision. Angioni S, Maricosu G, Mereu L, Mencaglia L, Melis GB. Journal of Endometriosis 2 (2): 95-98, 2010.</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12. Pascual MA, Guerriero S, Hereter L, Barri-Soldevila P, Ajossa S, Graupera B, Rodriguez I. Diagnosis of endometriosis of the rectovaginal septum using introital three-dimensional ultrasonography. Fertil Steril. 2010</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 xml:space="preserve">13. The value of serological markers in the diagnosis and prognosis of endometriosis: a prospective case-control study. Socolov R, Butureanu S, </w:t>
      </w:r>
      <w:r>
        <w:rPr>
          <w:rFonts w:ascii="Arial" w:hAnsi="Arial" w:cs="Arial"/>
          <w:color w:val="313132"/>
          <w:sz w:val="28"/>
          <w:szCs w:val="28"/>
        </w:rPr>
        <w:lastRenderedPageBreak/>
        <w:t>Angioni S, Sindilar A, Boiculese L, Cozma L, Socolov D. European Journal of Obstetrics &amp; Gynecology and Reproductive Biology 154(2): 215-7, 2011</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14. Prevention of postoperative abdominal adhesions in gynecological surgery. Consensus paper of an italian gynecologists' task force on adhesions. Mais V, Angioli R, Coccia E, Fagotti A, Landi S, Melis GB, Pellicano M, Scambia G, Zupi E, Angioni S, Arena S, Corona R, Fanfani F, Nappi C. Minerva Ginecologica 63(1):47-70, 2011.</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15. Guerriero S, Piras B, Peddes C, Paladino E. Transvaginal sonography in diagnosis of vesicoperitoneal fistula due to deep infiltrating endometriosis as a cause of uroperitoneum. Ultrasound Obstet Gynecol. 2012.</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16. Endometriosis in adolescence. Dessole M, Melis GB, Angioni S. Obstetrics and Gynecology International 2012;2012:869191. doi: 10.1155/2012/869191</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17. Saba L, Guerriero S, Sulcis R, Pilloni M, Ajossa S, Melis G, Mallarini G. MRI and "tenderness guided" transvaginal ultrasonography in the diagnosis of recto-sigmoid endometriosis. J Magn Reson Imaging. 2012</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18. Saba L, Sulcis R, Melis GB, Ibba G, Alcazar JL, Piga M, Guerriero S. Diagnostic confidence analysis in the magnetic resonance imaging of ovarian and deep endometriosis: comparison with surgical results. Eur Radiol. 2013 Sep 12.</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19. Pascual MA, Guerriero S, Hereter L, Barri-Soldevila P, Ajossa S, Graupera B, Rodriguez I. Three-dimensional sonography for diagnosis of rectovaginal septum endometriosis: interobserver agreement. J Ultrasound Med. 2013 Jun;32(6).</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20. Guerriero S, Spiga S, Ajossa S, Peddes C, Perniciano M, Soggiu B, De Cecco CN, Laghi A, Melis GB, Saba L. Role of imaging in the management of endometriosis. Minerva Ginecol. 2013 Apr;65(2):143-66.</w:t>
      </w:r>
    </w:p>
    <w:p w:rsidR="00D0125D" w:rsidRDefault="00D0125D" w:rsidP="00D0125D">
      <w:pPr>
        <w:widowControl w:val="0"/>
        <w:autoSpaceDE w:val="0"/>
        <w:autoSpaceDN w:val="0"/>
        <w:adjustRightInd w:val="0"/>
        <w:rPr>
          <w:rFonts w:ascii="Arial" w:hAnsi="Arial" w:cs="Arial"/>
          <w:sz w:val="28"/>
          <w:szCs w:val="28"/>
        </w:rPr>
      </w:pPr>
      <w:r>
        <w:rPr>
          <w:rFonts w:ascii="Arial" w:hAnsi="Arial" w:cs="Arial"/>
          <w:color w:val="313132"/>
          <w:sz w:val="28"/>
          <w:szCs w:val="28"/>
        </w:rPr>
        <w:t>21. Guerriero S, Pilloni M, Alcazar JL, Sedda F, Ajossa S, Mais V, Melis GB, Saba L. Tissue characterization using mean gray value analysis in deep infiltrating endometriosis. Ultrasound Obstet Gynecol. 2013 Apr;41(4):459-64.</w:t>
      </w:r>
    </w:p>
    <w:p w:rsidR="000D1806" w:rsidRDefault="00D0125D" w:rsidP="00D0125D">
      <w:r>
        <w:rPr>
          <w:rFonts w:ascii="Arial" w:hAnsi="Arial" w:cs="Arial"/>
          <w:color w:val="313132"/>
          <w:sz w:val="28"/>
          <w:szCs w:val="28"/>
        </w:rPr>
        <w:t>22. Anti-Müllerian hormone trend after laparoscopic surgery in women with ovarian endometrioma. Litta P, D'Agostino G, Conte L, Saccardi C, Cela V, Angioni S, Plebani M. Gynecological Endocrinology 2013 May;29(5):452-4</w:t>
      </w:r>
    </w:p>
    <w:sectPr w:rsidR="000D1806" w:rsidSect="00E564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5D"/>
    <w:rsid w:val="000D1806"/>
    <w:rsid w:val="00D0125D"/>
    <w:rsid w:val="00E564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3E7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4138</Characters>
  <Application>Microsoft Macintosh Word</Application>
  <DocSecurity>0</DocSecurity>
  <Lines>34</Lines>
  <Paragraphs>9</Paragraphs>
  <ScaleCrop>false</ScaleCrop>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dc:creator>
  <cp:keywords/>
  <dc:description/>
  <cp:lastModifiedBy>tore</cp:lastModifiedBy>
  <cp:revision>1</cp:revision>
  <dcterms:created xsi:type="dcterms:W3CDTF">2016-03-28T15:59:00Z</dcterms:created>
  <dcterms:modified xsi:type="dcterms:W3CDTF">2016-03-28T15:59:00Z</dcterms:modified>
</cp:coreProperties>
</file>